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A3" w:rsidRDefault="001974A3" w:rsidP="001974A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974A3" w:rsidRPr="00B971B6" w:rsidRDefault="001974A3" w:rsidP="001974A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Vicdessos n°14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834E3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974A3" w:rsidRPr="009E0498" w:rsidRDefault="00A10CDF" w:rsidP="00392696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3E6B80">
              <w:rPr>
                <w:b/>
              </w:rPr>
              <w:t>Auzat</w:t>
            </w:r>
            <w:r w:rsidRPr="00817A17">
              <w:t xml:space="preserve"> – </w:t>
            </w:r>
            <w:proofErr w:type="spellStart"/>
            <w:r w:rsidRPr="00817A17">
              <w:t>Orrys</w:t>
            </w:r>
            <w:proofErr w:type="spellEnd"/>
            <w:r w:rsidRPr="00817A17">
              <w:t xml:space="preserve"> du Carla à </w:t>
            </w:r>
            <w:proofErr w:type="spellStart"/>
            <w:r w:rsidRPr="00817A17">
              <w:t>Soulcem</w:t>
            </w:r>
            <w:proofErr w:type="spellEnd"/>
            <w:r w:rsidRPr="00817A17">
              <w:t xml:space="preserve"> –</w:t>
            </w:r>
            <w:r>
              <w:t xml:space="preserve"> </w:t>
            </w:r>
            <w:r w:rsidRPr="003E6B80">
              <w:rPr>
                <w:b/>
              </w:rPr>
              <w:t xml:space="preserve">Les étangs de </w:t>
            </w:r>
            <w:proofErr w:type="spellStart"/>
            <w:r w:rsidRPr="003E6B80">
              <w:rPr>
                <w:b/>
              </w:rPr>
              <w:t>Roumazet</w:t>
            </w:r>
            <w:proofErr w:type="spellEnd"/>
            <w:r w:rsidRPr="003E6B80">
              <w:rPr>
                <w:b/>
              </w:rPr>
              <w:t xml:space="preserve"> et de la </w:t>
            </w:r>
            <w:proofErr w:type="spellStart"/>
            <w:r w:rsidRPr="003E6B80">
              <w:rPr>
                <w:b/>
              </w:rPr>
              <w:t>Soucarrane</w:t>
            </w:r>
            <w:proofErr w:type="spellEnd"/>
            <w:r w:rsidRPr="003E6B80">
              <w:rPr>
                <w:b/>
              </w:rPr>
              <w:t xml:space="preserve"> en circuit depuis les </w:t>
            </w:r>
            <w:proofErr w:type="spellStart"/>
            <w:r w:rsidRPr="003E6B80">
              <w:rPr>
                <w:b/>
              </w:rPr>
              <w:t>orrys</w:t>
            </w:r>
            <w:proofErr w:type="spellEnd"/>
            <w:r w:rsidRPr="003E6B80">
              <w:rPr>
                <w:b/>
              </w:rPr>
              <w:t xml:space="preserve"> du Carla</w:t>
            </w: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834E3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974A3" w:rsidRPr="006309B1" w:rsidRDefault="00A10CDF" w:rsidP="00A10CDF">
            <w:pPr>
              <w:pStyle w:val="Paragraphedeliste"/>
              <w:numPr>
                <w:ilvl w:val="0"/>
                <w:numId w:val="2"/>
              </w:numPr>
            </w:pPr>
            <w:r w:rsidRPr="006309B1">
              <w:t xml:space="preserve">10/09/2014 - Michèle Buc </w:t>
            </w:r>
            <w:r w:rsidR="00F75183" w:rsidRPr="006309B1">
              <w:t>– 22 participants (Reportage photos)</w:t>
            </w:r>
          </w:p>
          <w:p w:rsidR="001974A3" w:rsidRPr="00E10100" w:rsidRDefault="006309B1" w:rsidP="00F73CE7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6309B1">
              <w:t>22/08/2019 – P. Emlinger -</w:t>
            </w:r>
            <w:r>
              <w:t xml:space="preserve"> 23 </w:t>
            </w:r>
            <w:bookmarkStart w:id="0" w:name="_GoBack"/>
            <w:bookmarkEnd w:id="0"/>
            <w:r>
              <w:t>participants (Reportage photos)</w:t>
            </w: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834E3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74A3" w:rsidRPr="00A10CDF" w:rsidRDefault="00A10CDF" w:rsidP="00F3263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Site </w:t>
            </w:r>
            <w:r w:rsidRPr="00A10CDF">
              <w:rPr>
                <w:rFonts w:cstheme="minorHAnsi"/>
              </w:rPr>
              <w:t>"</w:t>
            </w:r>
            <w:r>
              <w:t>Photos randonnées Ariège Pyrénées</w:t>
            </w:r>
            <w:r w:rsidRPr="00A10CDF">
              <w:rPr>
                <w:rFonts w:ascii="Calibri" w:hAnsi="Calibri" w:cs="Calibri"/>
              </w:rPr>
              <w:t>"</w:t>
            </w:r>
            <w:r>
              <w:t xml:space="preserve"> : Les étangs de </w:t>
            </w:r>
            <w:proofErr w:type="spellStart"/>
            <w:r>
              <w:t>Roumazet</w:t>
            </w:r>
            <w:proofErr w:type="spellEnd"/>
            <w:r>
              <w:t xml:space="preserve"> et de la </w:t>
            </w:r>
            <w:proofErr w:type="spellStart"/>
            <w:r>
              <w:t>Soucarrane</w:t>
            </w:r>
            <w:proofErr w:type="spellEnd"/>
            <w:r>
              <w:t xml:space="preserve"> </w:t>
            </w:r>
            <w:hyperlink r:id="rId5" w:history="1">
              <w:r w:rsidRPr="00533945">
                <w:rPr>
                  <w:rStyle w:val="Lienhypertexte"/>
                </w:rPr>
                <w:t>http://www.photosariege.com/article-6406194.html</w:t>
              </w:r>
            </w:hyperlink>
            <w:r>
              <w:t xml:space="preserve"> ; (avec une variante jusqu’au Port de </w:t>
            </w:r>
            <w:proofErr w:type="spellStart"/>
            <w:r>
              <w:t>Bouet</w:t>
            </w:r>
            <w:proofErr w:type="spellEnd"/>
          </w:p>
          <w:p w:rsidR="00A10CDF" w:rsidRPr="00F32634" w:rsidRDefault="00A10CDF" w:rsidP="00F32634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Blog </w:t>
            </w:r>
            <w:r w:rsidR="00F32634">
              <w:rPr>
                <w:rFonts w:cstheme="minorHAnsi"/>
              </w:rPr>
              <w:t>"</w:t>
            </w:r>
            <w:r w:rsidR="00F32634">
              <w:t xml:space="preserve">Sentiers ariégeois – Fiches de randonnées pédestre et de balades en Ariège - </w:t>
            </w:r>
            <w:hyperlink r:id="rId6" w:history="1">
              <w:r w:rsidR="00F32634" w:rsidRPr="00533945">
                <w:rPr>
                  <w:rStyle w:val="Lienhypertexte"/>
                </w:rPr>
                <w:t>http://ariegerando.over-blog.com/article-les-etangs-de-roumazet-et-de-la-soucarrane-119648581.html</w:t>
              </w:r>
            </w:hyperlink>
            <w:r w:rsidR="00F32634">
              <w:t xml:space="preserve"> (Description très détaillée avec historique des sorties)</w:t>
            </w:r>
          </w:p>
          <w:p w:rsidR="00F32634" w:rsidRPr="00400045" w:rsidRDefault="00F32634" w:rsidP="00F3263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00045">
              <w:t>Itinéraire tracé en rouge sur la carte IGN Top25 2148 OT</w:t>
            </w:r>
          </w:p>
          <w:p w:rsidR="00F32634" w:rsidRPr="00EA4A52" w:rsidRDefault="00F32634" w:rsidP="00F3263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A4A52">
              <w:t xml:space="preserve">Blog </w:t>
            </w:r>
            <w:hyperlink r:id="rId7" w:history="1">
              <w:r w:rsidR="00EA4A52" w:rsidRPr="00533945">
                <w:rPr>
                  <w:rStyle w:val="Lienhypertexte"/>
                </w:rPr>
                <w:t>http://www.benoblog.com/2016/08/10/etangs-de-roumazet-et-de-la-soucarrane-en-famille-vallee-de-soulcem-ariege/</w:t>
              </w:r>
            </w:hyperlink>
            <w:r w:rsidR="00EA4A52">
              <w:t> ; Lui aussi bien détaillé</w:t>
            </w:r>
            <w:r w:rsidR="00392696">
              <w:t>.</w:t>
            </w:r>
          </w:p>
          <w:p w:rsidR="001974A3" w:rsidRPr="009E0498" w:rsidRDefault="001974A3" w:rsidP="00834E3C">
            <w:pPr>
              <w:rPr>
                <w:sz w:val="24"/>
                <w:szCs w:val="24"/>
              </w:rPr>
            </w:pP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834E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3047FE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1974A3" w:rsidRPr="00E10100" w:rsidRDefault="001B3008" w:rsidP="00537009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1B3008">
              <w:t xml:space="preserve">Randonneur – </w:t>
            </w:r>
            <w:r w:rsidR="00BF5D2D">
              <w:t>5h00</w:t>
            </w:r>
            <w:r w:rsidRPr="001B3008">
              <w:t xml:space="preserve"> – 7</w:t>
            </w:r>
            <w:r w:rsidR="00537009">
              <w:t>0</w:t>
            </w:r>
            <w:r w:rsidRPr="001B3008">
              <w:t>0 m – 1</w:t>
            </w:r>
            <w:r w:rsidR="003E186C">
              <w:t>1</w:t>
            </w:r>
            <w:r w:rsidRPr="001B3008">
              <w:t xml:space="preserve"> km</w:t>
            </w:r>
            <w:r w:rsidR="003047FE">
              <w:t xml:space="preserve"> - Journée</w:t>
            </w: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39269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B3008" w:rsidRPr="001B3008">
              <w:t>Blanc et rouge</w:t>
            </w: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664DF8" w:rsidRDefault="001974A3" w:rsidP="00834E3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64DF8" w:rsidRDefault="00664DF8" w:rsidP="00664DF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64DF8">
              <w:t xml:space="preserve">La montée rude du Pla de </w:t>
            </w:r>
            <w:proofErr w:type="spellStart"/>
            <w:r w:rsidRPr="00664DF8">
              <w:t>Labinas</w:t>
            </w:r>
            <w:proofErr w:type="spellEnd"/>
            <w:r w:rsidRPr="00664DF8">
              <w:t xml:space="preserve">, dans le vallon de </w:t>
            </w:r>
            <w:proofErr w:type="spellStart"/>
            <w:r w:rsidRPr="00664DF8">
              <w:t>Soulcem</w:t>
            </w:r>
            <w:proofErr w:type="spellEnd"/>
            <w:r w:rsidRPr="00664DF8">
              <w:t>, jusqu’au verrou</w:t>
            </w:r>
            <w:r>
              <w:t xml:space="preserve"> de </w:t>
            </w:r>
            <w:proofErr w:type="spellStart"/>
            <w:r>
              <w:t>Roumazet</w:t>
            </w:r>
            <w:proofErr w:type="spellEnd"/>
            <w:r>
              <w:t>.</w:t>
            </w:r>
          </w:p>
          <w:p w:rsidR="001974A3" w:rsidRPr="00664DF8" w:rsidRDefault="00664DF8" w:rsidP="00834E3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La descente forte vers les </w:t>
            </w:r>
            <w:proofErr w:type="spellStart"/>
            <w:r>
              <w:t>orrys</w:t>
            </w:r>
            <w:proofErr w:type="spellEnd"/>
            <w:r>
              <w:t xml:space="preserve"> des </w:t>
            </w:r>
            <w:proofErr w:type="spellStart"/>
            <w:r>
              <w:t>Estrets</w:t>
            </w:r>
            <w:proofErr w:type="spellEnd"/>
            <w:r>
              <w:t xml:space="preserve"> dans ce même vallon de </w:t>
            </w:r>
            <w:proofErr w:type="spellStart"/>
            <w:r>
              <w:t>Soulcem</w:t>
            </w:r>
            <w:proofErr w:type="spellEnd"/>
            <w:r>
              <w:t>.</w:t>
            </w:r>
          </w:p>
          <w:p w:rsidR="001974A3" w:rsidRPr="009E0498" w:rsidRDefault="001974A3" w:rsidP="00834E3C">
            <w:pPr>
              <w:rPr>
                <w:sz w:val="24"/>
                <w:szCs w:val="24"/>
              </w:rPr>
            </w:pP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Pr="00233651" w:rsidRDefault="001974A3" w:rsidP="00834E3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1974A3" w:rsidRPr="00392696" w:rsidRDefault="001B3008" w:rsidP="001B3008">
            <w:pPr>
              <w:pStyle w:val="Paragraphedeliste"/>
              <w:numPr>
                <w:ilvl w:val="0"/>
                <w:numId w:val="2"/>
              </w:numPr>
            </w:pPr>
            <w:r w:rsidRPr="00392696">
              <w:t xml:space="preserve">Les </w:t>
            </w:r>
            <w:proofErr w:type="spellStart"/>
            <w:r w:rsidRPr="00392696">
              <w:t>orrys</w:t>
            </w:r>
            <w:proofErr w:type="spellEnd"/>
            <w:r w:rsidRPr="00392696">
              <w:t xml:space="preserve"> de la vallée de </w:t>
            </w:r>
            <w:proofErr w:type="spellStart"/>
            <w:r w:rsidRPr="00392696">
              <w:t>Soulcem</w:t>
            </w:r>
            <w:proofErr w:type="spellEnd"/>
            <w:r w:rsidRPr="00392696">
              <w:t xml:space="preserve"> (Carla, </w:t>
            </w:r>
            <w:proofErr w:type="spellStart"/>
            <w:r w:rsidRPr="00392696">
              <w:t>Labinas</w:t>
            </w:r>
            <w:proofErr w:type="spellEnd"/>
            <w:r w:rsidRPr="00392696">
              <w:t xml:space="preserve">, </w:t>
            </w:r>
            <w:proofErr w:type="spellStart"/>
            <w:r w:rsidRPr="00392696">
              <w:t>Estrets</w:t>
            </w:r>
            <w:proofErr w:type="spellEnd"/>
            <w:r w:rsidRPr="00392696">
              <w:t xml:space="preserve">, La </w:t>
            </w:r>
            <w:proofErr w:type="spellStart"/>
            <w:r w:rsidRPr="00392696">
              <w:t>Croutz</w:t>
            </w:r>
            <w:proofErr w:type="spellEnd"/>
            <w:r w:rsidRPr="00392696">
              <w:t>)</w:t>
            </w:r>
          </w:p>
          <w:p w:rsidR="001B3008" w:rsidRPr="00392696" w:rsidRDefault="001B3008" w:rsidP="001B3008">
            <w:pPr>
              <w:pStyle w:val="Paragraphedeliste"/>
              <w:numPr>
                <w:ilvl w:val="0"/>
                <w:numId w:val="2"/>
              </w:numPr>
            </w:pPr>
            <w:r w:rsidRPr="00392696">
              <w:t xml:space="preserve">Cascade de </w:t>
            </w:r>
            <w:proofErr w:type="spellStart"/>
            <w:r w:rsidRPr="00392696">
              <w:t>Labinas</w:t>
            </w:r>
            <w:proofErr w:type="spellEnd"/>
          </w:p>
          <w:p w:rsidR="001974A3" w:rsidRPr="009E0498" w:rsidRDefault="00664DF8" w:rsidP="00392696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392696">
              <w:t xml:space="preserve">L’étang de </w:t>
            </w:r>
            <w:proofErr w:type="spellStart"/>
            <w:r w:rsidRPr="00392696">
              <w:t>Roumazet</w:t>
            </w:r>
            <w:proofErr w:type="spellEnd"/>
            <w:r w:rsidRPr="00392696">
              <w:t xml:space="preserve"> (2163 m) et l’étang de La </w:t>
            </w:r>
            <w:proofErr w:type="spellStart"/>
            <w:r w:rsidRPr="00392696">
              <w:t>Soucarrane</w:t>
            </w:r>
            <w:proofErr w:type="spellEnd"/>
            <w:r w:rsidRPr="00392696">
              <w:t xml:space="preserve"> (2292m)</w:t>
            </w: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BF5D2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BF5D2D">
              <w:rPr>
                <w:b/>
                <w:sz w:val="24"/>
                <w:szCs w:val="24"/>
              </w:rPr>
              <w:t xml:space="preserve"> </w:t>
            </w:r>
            <w:r w:rsidR="00BF5D2D" w:rsidRPr="00BF5D2D">
              <w:t>Oui</w:t>
            </w:r>
          </w:p>
          <w:p w:rsidR="001974A3" w:rsidRPr="00392696" w:rsidRDefault="001974A3" w:rsidP="00392696">
            <w:pPr>
              <w:ind w:left="360"/>
              <w:rPr>
                <w:sz w:val="24"/>
                <w:szCs w:val="24"/>
              </w:rPr>
            </w:pP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1974A3" w:rsidRDefault="001974A3" w:rsidP="00834E3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3008" w:rsidRPr="00D8061B">
              <w:t>60 km</w:t>
            </w:r>
          </w:p>
          <w:p w:rsidR="001974A3" w:rsidRPr="009E0498" w:rsidRDefault="001974A3" w:rsidP="00834E3C">
            <w:pPr>
              <w:rPr>
                <w:sz w:val="24"/>
                <w:szCs w:val="24"/>
              </w:rPr>
            </w:pPr>
          </w:p>
        </w:tc>
      </w:tr>
      <w:tr w:rsidR="001974A3" w:rsidTr="00834E3C">
        <w:trPr>
          <w:trHeight w:val="567"/>
        </w:trPr>
        <w:tc>
          <w:tcPr>
            <w:tcW w:w="9062" w:type="dxa"/>
          </w:tcPr>
          <w:p w:rsidR="00392696" w:rsidRDefault="001974A3" w:rsidP="0039269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7EBC" w:rsidRDefault="00A47EBC" w:rsidP="00392696">
            <w:pPr>
              <w:pStyle w:val="Paragraphedeliste"/>
              <w:numPr>
                <w:ilvl w:val="0"/>
                <w:numId w:val="1"/>
              </w:numPr>
            </w:pPr>
            <w:r>
              <w:t>Entr</w:t>
            </w:r>
            <w:r w:rsidR="00392696">
              <w:t>e</w:t>
            </w:r>
            <w:r>
              <w:t xml:space="preserve"> les deux étangs pierrier avec balisage insuffisant,</w:t>
            </w:r>
            <w:r w:rsidR="00392696">
              <w:t xml:space="preserve"> </w:t>
            </w:r>
            <w:r>
              <w:t xml:space="preserve">mais </w:t>
            </w:r>
            <w:r w:rsidR="00F73CE7">
              <w:t xml:space="preserve">le </w:t>
            </w:r>
            <w:r>
              <w:t xml:space="preserve">chemin </w:t>
            </w:r>
            <w:r w:rsidR="00392696">
              <w:t>qui</w:t>
            </w:r>
            <w:r>
              <w:t xml:space="preserve"> s’écart</w:t>
            </w:r>
            <w:r w:rsidR="00392696">
              <w:t>e de celui indiqué sur</w:t>
            </w:r>
            <w:r>
              <w:t xml:space="preserve"> la carte</w:t>
            </w:r>
            <w:r w:rsidR="00392696">
              <w:t xml:space="preserve"> IGN est évident</w:t>
            </w:r>
            <w:r>
              <w:t>.</w:t>
            </w:r>
          </w:p>
          <w:p w:rsidR="00392696" w:rsidRDefault="00392696" w:rsidP="00392696">
            <w:pPr>
              <w:pStyle w:val="Paragraphedeliste"/>
              <w:numPr>
                <w:ilvl w:val="0"/>
                <w:numId w:val="1"/>
              </w:numPr>
            </w:pPr>
            <w:r w:rsidRPr="00BF5D2D">
              <w:t>Peut se faire, indifféremment, dans les deux sens</w:t>
            </w:r>
            <w:r>
              <w:t xml:space="preserve">, mais Pierrette recommande le sens contraire des aiguilles d’une montre, la montée vers </w:t>
            </w:r>
            <w:proofErr w:type="spellStart"/>
            <w:r>
              <w:t>Roumazet</w:t>
            </w:r>
            <w:proofErr w:type="spellEnd"/>
            <w:r>
              <w:t xml:space="preserve"> étant, certes raide mais mieux tracée. Le chemin entre </w:t>
            </w:r>
            <w:proofErr w:type="spellStart"/>
            <w:r>
              <w:t>Soucarrane</w:t>
            </w:r>
            <w:proofErr w:type="spellEnd"/>
            <w:r>
              <w:t xml:space="preserve"> et les </w:t>
            </w:r>
            <w:proofErr w:type="spellStart"/>
            <w:r>
              <w:t>orrys</w:t>
            </w:r>
            <w:proofErr w:type="spellEnd"/>
            <w:r>
              <w:t xml:space="preserve"> d’</w:t>
            </w:r>
            <w:proofErr w:type="spellStart"/>
            <w:r>
              <w:t>Estrets</w:t>
            </w:r>
            <w:proofErr w:type="spellEnd"/>
            <w:r>
              <w:t xml:space="preserve"> qui suit un petit ruisseau est moins bien tracé.</w:t>
            </w:r>
          </w:p>
          <w:p w:rsidR="001974A3" w:rsidRPr="00836791" w:rsidRDefault="001974A3" w:rsidP="00834E3C">
            <w:pPr>
              <w:rPr>
                <w:sz w:val="24"/>
                <w:szCs w:val="24"/>
              </w:rPr>
            </w:pPr>
          </w:p>
        </w:tc>
      </w:tr>
    </w:tbl>
    <w:p w:rsidR="006309B1" w:rsidRPr="003E6B80" w:rsidRDefault="001974A3" w:rsidP="001974A3">
      <w:pPr>
        <w:rPr>
          <w:b/>
        </w:rPr>
      </w:pPr>
      <w:r>
        <w:t xml:space="preserve">Date de la dernière mise à jour : </w:t>
      </w:r>
      <w:r w:rsidR="00F73CE7">
        <w:rPr>
          <w:b/>
        </w:rPr>
        <w:t>15 novembre</w:t>
      </w:r>
      <w:r w:rsidR="006309B1">
        <w:rPr>
          <w:b/>
        </w:rPr>
        <w:t xml:space="preserve"> 2019</w:t>
      </w:r>
    </w:p>
    <w:p w:rsidR="001974A3" w:rsidRDefault="001974A3" w:rsidP="001974A3"/>
    <w:p w:rsidR="00F75183" w:rsidRPr="00F75183" w:rsidRDefault="00F75183" w:rsidP="00F751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75183">
        <w:rPr>
          <w:b/>
          <w:sz w:val="28"/>
          <w:szCs w:val="28"/>
        </w:rPr>
        <w:lastRenderedPageBreak/>
        <w:t>La carte</w:t>
      </w:r>
    </w:p>
    <w:p w:rsidR="00F75183" w:rsidRDefault="00F73CE7" w:rsidP="006309B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16905" cy="62471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2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E7" w:rsidRDefault="00F73CE7" w:rsidP="00F73CE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33042" cy="1883122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58" cy="18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E7" w:rsidRDefault="00F73CE7" w:rsidP="006309B1">
      <w:pPr>
        <w:jc w:val="center"/>
      </w:pPr>
    </w:p>
    <w:sectPr w:rsidR="00F7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1AF"/>
    <w:multiLevelType w:val="hybridMultilevel"/>
    <w:tmpl w:val="3594BC12"/>
    <w:lvl w:ilvl="0" w:tplc="35C65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3F31"/>
    <w:multiLevelType w:val="hybridMultilevel"/>
    <w:tmpl w:val="FBA82930"/>
    <w:lvl w:ilvl="0" w:tplc="9C0C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183"/>
    <w:multiLevelType w:val="hybridMultilevel"/>
    <w:tmpl w:val="9154CD9E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A3"/>
    <w:rsid w:val="001974A3"/>
    <w:rsid w:val="001B3008"/>
    <w:rsid w:val="003047FE"/>
    <w:rsid w:val="00392696"/>
    <w:rsid w:val="003E186C"/>
    <w:rsid w:val="003E6B80"/>
    <w:rsid w:val="003F41D0"/>
    <w:rsid w:val="0042364E"/>
    <w:rsid w:val="00537009"/>
    <w:rsid w:val="006309B1"/>
    <w:rsid w:val="00664DF8"/>
    <w:rsid w:val="00853DCD"/>
    <w:rsid w:val="00A10CDF"/>
    <w:rsid w:val="00A47EBC"/>
    <w:rsid w:val="00BF5D2D"/>
    <w:rsid w:val="00EA4A52"/>
    <w:rsid w:val="00F32634"/>
    <w:rsid w:val="00F73CE7"/>
    <w:rsid w:val="00F75183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ADFD-8A91-44F4-B485-27AF11A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4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enoblog.com/2016/08/10/etangs-de-roumazet-et-de-la-soucarrane-en-famille-vallee-de-soulcem-ari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egerando.over-blog.com/article-les-etangs-de-roumazet-et-de-la-soucarrane-1196485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sariege.com/article-640619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7</cp:revision>
  <dcterms:created xsi:type="dcterms:W3CDTF">2019-10-20T06:05:00Z</dcterms:created>
  <dcterms:modified xsi:type="dcterms:W3CDTF">2019-11-15T15:08:00Z</dcterms:modified>
</cp:coreProperties>
</file>